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eastAsia="zh-CN"/>
        </w:rPr>
      </w:pPr>
    </w:p>
    <w:p>
      <w:pPr>
        <w:pStyle w:val="3"/>
        <w:jc w:val="center"/>
        <w:rPr>
          <w:rFonts w:hint="default" w:ascii="Times New Roman" w:hAnsi="Times New Roman" w:eastAsia="仿宋_GB2312" w:cs="Times New Roman"/>
          <w:color w:val="auto"/>
          <w:sz w:val="32"/>
          <w:lang w:val="en-US" w:eastAsia="zh-CN"/>
        </w:rPr>
      </w:pPr>
      <w:r>
        <w:rPr>
          <w:rFonts w:hint="default" w:ascii="Times New Roman" w:hAnsi="Times New Roman" w:cs="Times New Roman"/>
          <w:sz w:val="44"/>
          <w:szCs w:val="44"/>
          <w:lang w:eastAsia="zh-CN"/>
        </w:rPr>
        <w:t>自治区人民政府关于将一批自治区级行政职权事项调整由乌鲁木齐市实施的决定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color w:val="auto"/>
          <w:sz w:val="32"/>
          <w:lang w:val="en-US" w:eastAsia="zh-CN"/>
        </w:rPr>
      </w:pPr>
      <w:r>
        <w:rPr>
          <w:rFonts w:hint="default" w:ascii="Times New Roman" w:hAnsi="Times New Roman" w:eastAsia="楷体_GB2312" w:cs="Times New Roman"/>
          <w:color w:val="auto"/>
          <w:sz w:val="32"/>
          <w:lang w:val="en-US" w:eastAsia="zh-CN"/>
        </w:rPr>
        <w:t>（</w:t>
      </w:r>
      <w:r>
        <w:rPr>
          <w:rFonts w:hint="default" w:ascii="Times New Roman" w:hAnsi="Times New Roman" w:eastAsia="楷体_GB2312" w:cs="Times New Roman"/>
          <w:i w:val="0"/>
          <w:caps w:val="0"/>
          <w:color w:val="333333"/>
          <w:spacing w:val="0"/>
          <w:sz w:val="32"/>
          <w:szCs w:val="32"/>
          <w:shd w:val="clear" w:fill="FFFFFF"/>
          <w:lang w:val="en-US" w:eastAsia="zh-CN"/>
        </w:rPr>
        <w:t>2024年</w:t>
      </w:r>
      <w:r>
        <w:rPr>
          <w:rFonts w:hint="eastAsia" w:ascii="Times New Roman" w:hAnsi="Times New Roman" w:eastAsia="楷体_GB2312" w:cs="Times New Roman"/>
          <w:i w:val="0"/>
          <w:caps w:val="0"/>
          <w:color w:val="333333"/>
          <w:spacing w:val="0"/>
          <w:sz w:val="32"/>
          <w:szCs w:val="32"/>
          <w:shd w:val="clear" w:fill="FFFFFF"/>
          <w:lang w:val="en-US" w:eastAsia="zh-CN"/>
        </w:rPr>
        <w:t>5</w:t>
      </w:r>
      <w:r>
        <w:rPr>
          <w:rFonts w:hint="default" w:ascii="Times New Roman" w:hAnsi="Times New Roman" w:eastAsia="楷体_GB2312" w:cs="Times New Roman"/>
          <w:i w:val="0"/>
          <w:caps w:val="0"/>
          <w:color w:val="333333"/>
          <w:spacing w:val="0"/>
          <w:sz w:val="32"/>
          <w:szCs w:val="32"/>
          <w:shd w:val="clear" w:fill="FFFFFF"/>
          <w:lang w:val="en-US" w:eastAsia="zh-CN"/>
        </w:rPr>
        <w:t>月</w:t>
      </w:r>
      <w:r>
        <w:rPr>
          <w:rFonts w:hint="eastAsia" w:ascii="Times New Roman" w:hAnsi="Times New Roman" w:eastAsia="楷体_GB2312" w:cs="Times New Roman"/>
          <w:i w:val="0"/>
          <w:caps w:val="0"/>
          <w:color w:val="333333"/>
          <w:spacing w:val="0"/>
          <w:sz w:val="32"/>
          <w:szCs w:val="32"/>
          <w:shd w:val="clear" w:fill="FFFFFF"/>
          <w:lang w:val="en-US" w:eastAsia="zh-CN"/>
        </w:rPr>
        <w:t>28</w:t>
      </w:r>
      <w:r>
        <w:rPr>
          <w:rFonts w:hint="default" w:ascii="Times New Roman" w:hAnsi="Times New Roman" w:eastAsia="楷体_GB2312" w:cs="Times New Roman"/>
          <w:i w:val="0"/>
          <w:caps w:val="0"/>
          <w:color w:val="333333"/>
          <w:spacing w:val="0"/>
          <w:sz w:val="32"/>
          <w:szCs w:val="32"/>
          <w:shd w:val="clear" w:fill="FFFFFF"/>
          <w:lang w:val="en-US" w:eastAsia="zh-CN"/>
        </w:rPr>
        <w:t>日自治区人民政府令第2</w:t>
      </w:r>
      <w:r>
        <w:rPr>
          <w:rFonts w:hint="default" w:ascii="Times New Roman" w:hAnsi="Times New Roman" w:eastAsia="楷体_GB2312" w:cs="Times New Roman"/>
          <w:i w:val="0"/>
          <w:caps w:val="0"/>
          <w:color w:val="333333"/>
          <w:spacing w:val="0"/>
          <w:sz w:val="32"/>
          <w:szCs w:val="32"/>
          <w:shd w:val="clear" w:fill="FFFFFF"/>
          <w:lang w:val="en" w:eastAsia="zh-CN"/>
        </w:rPr>
        <w:t>3</w:t>
      </w:r>
      <w:r>
        <w:rPr>
          <w:rFonts w:hint="eastAsia" w:ascii="Times New Roman" w:hAnsi="Times New Roman" w:eastAsia="楷体_GB2312" w:cs="Times New Roman"/>
          <w:i w:val="0"/>
          <w:caps w:val="0"/>
          <w:color w:val="333333"/>
          <w:spacing w:val="0"/>
          <w:sz w:val="32"/>
          <w:szCs w:val="32"/>
          <w:shd w:val="clear" w:fill="FFFFFF"/>
          <w:lang w:val="en-US" w:eastAsia="zh-CN"/>
        </w:rPr>
        <w:t>7</w:t>
      </w:r>
      <w:r>
        <w:rPr>
          <w:rFonts w:hint="default" w:ascii="Times New Roman" w:hAnsi="Times New Roman" w:eastAsia="楷体_GB2312" w:cs="Times New Roman"/>
          <w:i w:val="0"/>
          <w:caps w:val="0"/>
          <w:color w:val="333333"/>
          <w:spacing w:val="0"/>
          <w:sz w:val="32"/>
          <w:szCs w:val="32"/>
          <w:shd w:val="clear" w:fill="FFFFFF"/>
          <w:lang w:val="en-US" w:eastAsia="zh-CN"/>
        </w:rPr>
        <w:t>号发布</w:t>
      </w:r>
      <w:r>
        <w:rPr>
          <w:rFonts w:hint="default" w:ascii="Times New Roman" w:hAnsi="Times New Roman" w:eastAsia="楷体_GB2312" w:cs="Times New Roman"/>
          <w:i w:val="0"/>
          <w:caps w:val="0"/>
          <w:color w:val="333333"/>
          <w:spacing w:val="0"/>
          <w:sz w:val="32"/>
          <w:szCs w:val="32"/>
          <w:shd w:val="clear" w:fill="FFFFFF"/>
          <w:lang w:val="en" w:eastAsia="zh-CN"/>
        </w:rPr>
        <w:t xml:space="preserve">  自</w:t>
      </w:r>
      <w:r>
        <w:rPr>
          <w:rFonts w:hint="default" w:ascii="Times New Roman" w:hAnsi="Times New Roman" w:eastAsia="楷体_GB2312" w:cs="Times New Roman"/>
          <w:i w:val="0"/>
          <w:caps w:val="0"/>
          <w:color w:val="333333"/>
          <w:spacing w:val="0"/>
          <w:sz w:val="32"/>
          <w:szCs w:val="32"/>
          <w:shd w:val="clear" w:fill="FFFFFF"/>
          <w:lang w:val="en-US" w:eastAsia="zh-CN"/>
        </w:rPr>
        <w:t>20</w:t>
      </w:r>
      <w:r>
        <w:rPr>
          <w:rFonts w:hint="default" w:ascii="Times New Roman" w:hAnsi="Times New Roman" w:eastAsia="楷体_GB2312" w:cs="Times New Roman"/>
          <w:i w:val="0"/>
          <w:caps w:val="0"/>
          <w:color w:val="333333"/>
          <w:spacing w:val="0"/>
          <w:sz w:val="32"/>
          <w:szCs w:val="32"/>
          <w:shd w:val="clear" w:fill="FFFFFF"/>
          <w:lang w:val="en" w:eastAsia="zh-CN"/>
        </w:rPr>
        <w:t>2</w:t>
      </w:r>
      <w:r>
        <w:rPr>
          <w:rFonts w:hint="default" w:ascii="Times New Roman" w:hAnsi="Times New Roman" w:eastAsia="楷体_GB2312" w:cs="Times New Roman"/>
          <w:i w:val="0"/>
          <w:caps w:val="0"/>
          <w:color w:val="333333"/>
          <w:spacing w:val="0"/>
          <w:sz w:val="32"/>
          <w:szCs w:val="32"/>
          <w:shd w:val="clear" w:fill="FFFFFF"/>
          <w:lang w:val="en-US" w:eastAsia="zh-CN"/>
        </w:rPr>
        <w:t>4年</w:t>
      </w:r>
      <w:r>
        <w:rPr>
          <w:rFonts w:hint="eastAsia" w:ascii="Times New Roman" w:hAnsi="Times New Roman" w:eastAsia="楷体_GB2312" w:cs="Times New Roman"/>
          <w:i w:val="0"/>
          <w:caps w:val="0"/>
          <w:color w:val="333333"/>
          <w:spacing w:val="0"/>
          <w:sz w:val="32"/>
          <w:szCs w:val="32"/>
          <w:shd w:val="clear" w:fill="FFFFFF"/>
          <w:lang w:val="en-US" w:eastAsia="zh-CN"/>
        </w:rPr>
        <w:t>7</w:t>
      </w:r>
      <w:r>
        <w:rPr>
          <w:rFonts w:hint="default" w:ascii="Times New Roman" w:hAnsi="Times New Roman" w:eastAsia="楷体_GB2312" w:cs="Times New Roman"/>
          <w:i w:val="0"/>
          <w:caps w:val="0"/>
          <w:color w:val="333333"/>
          <w:spacing w:val="0"/>
          <w:sz w:val="32"/>
          <w:szCs w:val="32"/>
          <w:shd w:val="clear" w:fill="FFFFFF"/>
          <w:lang w:val="en-US" w:eastAsia="zh-CN"/>
        </w:rPr>
        <w:t>月</w:t>
      </w:r>
      <w:r>
        <w:rPr>
          <w:rFonts w:hint="eastAsia" w:ascii="Times New Roman" w:hAnsi="Times New Roman" w:eastAsia="楷体_GB2312" w:cs="Times New Roman"/>
          <w:i w:val="0"/>
          <w:caps w:val="0"/>
          <w:color w:val="333333"/>
          <w:spacing w:val="0"/>
          <w:sz w:val="32"/>
          <w:szCs w:val="32"/>
          <w:shd w:val="clear" w:fill="FFFFFF"/>
          <w:lang w:val="en-US" w:eastAsia="zh-CN"/>
        </w:rPr>
        <w:t>1</w:t>
      </w:r>
      <w:r>
        <w:rPr>
          <w:rFonts w:hint="default" w:ascii="Times New Roman" w:hAnsi="Times New Roman" w:eastAsia="楷体_GB2312" w:cs="Times New Roman"/>
          <w:i w:val="0"/>
          <w:caps w:val="0"/>
          <w:color w:val="333333"/>
          <w:spacing w:val="0"/>
          <w:sz w:val="32"/>
          <w:szCs w:val="32"/>
          <w:shd w:val="clear" w:fill="FFFFFF"/>
          <w:lang w:val="en-US" w:eastAsia="zh-CN"/>
        </w:rPr>
        <w:t>日起施行</w:t>
      </w:r>
      <w:r>
        <w:rPr>
          <w:rFonts w:hint="default" w:ascii="Times New Roman" w:hAnsi="Times New Roman" w:eastAsia="楷体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优化行政资源配置，提高行政效率，激发乌鲁木齐市高质量发展新动能新活力，依据《中华人民共和国行政许可法》等法律、法规，结合工作实际，自治区人民政府决定将一批自治区级行政职权事项调整由乌鲁木齐市实施。</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各有关部门要加强对乌鲁木齐市的业务指导、培训和监督。对委托实施的事项，要与承接部门依法签订委托协议，明确委托的具体内容、执行方式、双方权利义务、责任划分、监管措施、委托期限等，确保相关职权放得下、接得住、管得好。适时开展赋权事项运行效果评估，及时向自治区人民政府提出调整完善相关行政职权事项的建议。</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各有关部门和乌鲁木齐市要加强协同配合，按期完成相关职权事项的交接、公示等工作，确保相关业务无缝衔接、平稳过渡。乌鲁木齐市要严格依法规范办事行为，及时发布办事指南、优化服务流程、提高办事效率，为企业和群众提供高效便捷的服务。</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96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1598" w:leftChars="304" w:right="0" w:hanging="960" w:hanging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附件：自治区人民政府决定调整由乌鲁木齐市实施的自治区级行政职权事项目录</w:t>
      </w:r>
    </w:p>
    <w:p>
      <w:pPr>
        <w:pStyle w:val="6"/>
        <w:keepNext w:val="0"/>
        <w:keepLines w:val="0"/>
        <w:widowControl/>
        <w:suppressLineNumbers w:val="0"/>
        <w:spacing w:before="0" w:beforeAutospacing="0" w:after="0" w:afterAutospacing="0"/>
        <w:ind w:left="0" w:right="0" w:firstLine="0"/>
        <w:jc w:val="both"/>
        <w:rPr>
          <w:rFonts w:hint="default" w:ascii="Calibri" w:hAnsi="Calibri" w:cs="Calibri"/>
          <w:sz w:val="21"/>
          <w:szCs w:val="21"/>
        </w:rPr>
      </w:pPr>
      <w:r>
        <w:rPr>
          <w:rFonts w:hint="default" w:ascii="Calibri" w:hAnsi="Calibri" w:cs="Calibri"/>
          <w:sz w:val="21"/>
          <w:szCs w:val="21"/>
        </w:rPr>
        <w:t> </w:t>
      </w:r>
    </w:p>
    <w:p>
      <w:pPr>
        <w:pStyle w:val="6"/>
        <w:keepNext w:val="0"/>
        <w:keepLines w:val="0"/>
        <w:widowControl/>
        <w:suppressLineNumbers w:val="0"/>
        <w:spacing w:before="0" w:beforeAutospacing="0" w:after="140" w:afterAutospacing="0" w:line="273" w:lineRule="auto"/>
        <w:jc w:val="both"/>
        <w:rPr>
          <w:rFonts w:hint="default" w:ascii="Calibri" w:hAnsi="Calibri" w:cs="Calibri"/>
          <w:sz w:val="21"/>
          <w:szCs w:val="21"/>
        </w:rPr>
      </w:pPr>
      <w:r>
        <w:rPr>
          <w:rFonts w:hint="default" w:ascii="Calibri" w:hAnsi="Calibri" w:cs="Calibri"/>
          <w:sz w:val="21"/>
          <w:szCs w:val="21"/>
        </w:rPr>
        <w:t> </w:t>
      </w:r>
      <w:bookmarkStart w:id="0" w:name="_GoBack"/>
      <w:bookmarkEnd w:id="0"/>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ascii="黑体" w:hAnsi="宋体" w:eastAsia="黑体" w:cs="黑体"/>
          <w:sz w:val="32"/>
          <w:szCs w:val="32"/>
        </w:rPr>
      </w:pPr>
    </w:p>
    <w:p>
      <w:pPr>
        <w:pStyle w:val="6"/>
        <w:keepNext w:val="0"/>
        <w:keepLines w:val="0"/>
        <w:widowControl/>
        <w:suppressLineNumbers w:val="0"/>
        <w:spacing w:before="0" w:beforeAutospacing="0" w:after="0" w:afterAutospacing="0"/>
        <w:ind w:left="0" w:right="0" w:firstLine="0"/>
        <w:jc w:val="both"/>
        <w:rPr>
          <w:rFonts w:hint="default" w:ascii="Calibri" w:hAnsi="Calibri" w:cs="Calibri"/>
          <w:sz w:val="32"/>
          <w:szCs w:val="32"/>
        </w:rPr>
      </w:pPr>
      <w:r>
        <w:rPr>
          <w:rFonts w:ascii="黑体" w:hAnsi="宋体" w:eastAsia="黑体" w:cs="黑体"/>
          <w:sz w:val="32"/>
          <w:szCs w:val="32"/>
        </w:rPr>
        <w:t>附件</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36"/>
          <w:szCs w:val="36"/>
        </w:rPr>
      </w:pPr>
    </w:p>
    <w:p>
      <w:pPr>
        <w:pStyle w:val="6"/>
        <w:keepNext w:val="0"/>
        <w:keepLines w:val="0"/>
        <w:widowControl/>
        <w:suppressLineNumbers w:val="0"/>
        <w:autoSpaceDE w:val="0"/>
        <w:autoSpaceDN/>
        <w:spacing w:before="0" w:beforeAutospacing="0" w:after="0" w:afterAutospacing="0" w:line="560" w:lineRule="atLeast"/>
        <w:ind w:left="0" w:right="0"/>
        <w:jc w:val="center"/>
        <w:rPr>
          <w:rFonts w:hint="default" w:ascii="Calibri" w:hAnsi="Calibri" w:cs="Calibri"/>
          <w:sz w:val="36"/>
          <w:szCs w:val="36"/>
        </w:rPr>
      </w:pPr>
      <w:r>
        <w:rPr>
          <w:rFonts w:hint="eastAsia" w:ascii="方正小标宋简体" w:hAnsi="方正小标宋简体" w:eastAsia="方正小标宋简体" w:cs="方正小标宋简体"/>
          <w:sz w:val="36"/>
          <w:szCs w:val="36"/>
        </w:rPr>
        <w:t>自治区人民政府决定调整由乌鲁木齐市实施的</w:t>
      </w:r>
    </w:p>
    <w:p>
      <w:pPr>
        <w:pStyle w:val="6"/>
        <w:keepNext w:val="0"/>
        <w:keepLines w:val="0"/>
        <w:widowControl/>
        <w:suppressLineNumbers w:val="0"/>
        <w:autoSpaceDE w:val="0"/>
        <w:autoSpaceDN/>
        <w:spacing w:before="0" w:beforeAutospacing="0" w:after="0" w:afterAutospacing="0" w:line="560" w:lineRule="atLeast"/>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自治区级行政职权事项目录</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32"/>
          <w:szCs w:val="32"/>
        </w:rPr>
      </w:pPr>
    </w:p>
    <w:tbl>
      <w:tblPr>
        <w:tblStyle w:val="7"/>
        <w:tblW w:w="955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1"/>
        <w:gridCol w:w="1606"/>
        <w:gridCol w:w="983"/>
        <w:gridCol w:w="1466"/>
        <w:gridCol w:w="926"/>
        <w:gridCol w:w="2074"/>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5" w:hRule="atLeast"/>
        </w:trPr>
        <w:tc>
          <w:tcPr>
            <w:tcW w:w="74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right="0"/>
              <w:jc w:val="both"/>
              <w:rPr>
                <w:rFonts w:hint="default" w:ascii="Calibri" w:hAnsi="Calibri" w:cs="Calibri"/>
                <w:sz w:val="21"/>
                <w:szCs w:val="21"/>
              </w:rPr>
            </w:pPr>
            <w:r>
              <w:rPr>
                <w:rFonts w:hint="eastAsia" w:ascii="黑体" w:hAnsi="宋体" w:eastAsia="黑体" w:cs="黑体"/>
                <w:i w:val="0"/>
                <w:iCs w:val="0"/>
                <w:color w:val="000000"/>
                <w:sz w:val="30"/>
                <w:szCs w:val="30"/>
              </w:rPr>
              <w:t>序号</w:t>
            </w:r>
          </w:p>
        </w:tc>
        <w:tc>
          <w:tcPr>
            <w:tcW w:w="160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widowControl/>
              <w:suppressLineNumbers w:val="0"/>
              <w:autoSpaceDE w:val="0"/>
              <w:autoSpaceDN/>
              <w:spacing w:before="0" w:beforeAutospacing="0" w:after="0" w:afterAutospacing="0" w:line="380" w:lineRule="atLeast"/>
              <w:ind w:left="0" w:right="0"/>
              <w:jc w:val="center"/>
              <w:textAlignment w:val="center"/>
              <w:rPr>
                <w:rFonts w:hint="default" w:ascii="Calibri" w:hAnsi="Calibri" w:cs="Calibri"/>
                <w:sz w:val="21"/>
                <w:szCs w:val="21"/>
              </w:rPr>
            </w:pPr>
            <w:r>
              <w:rPr>
                <w:rFonts w:hint="eastAsia" w:ascii="黑体" w:hAnsi="宋体" w:eastAsia="黑体" w:cs="黑体"/>
                <w:i w:val="0"/>
                <w:iCs w:val="0"/>
                <w:color w:val="000000"/>
                <w:sz w:val="30"/>
                <w:szCs w:val="30"/>
              </w:rPr>
              <w:t>管理事项</w:t>
            </w:r>
            <w:r>
              <w:rPr>
                <w:rFonts w:hint="eastAsia" w:ascii="黑体" w:hAnsi="宋体" w:eastAsia="黑体" w:cs="黑体"/>
                <w:i w:val="0"/>
                <w:iCs w:val="0"/>
                <w:color w:val="000000"/>
                <w:sz w:val="30"/>
                <w:szCs w:val="30"/>
              </w:rPr>
              <w:br w:type="textWrapping"/>
            </w:r>
            <w:r>
              <w:rPr>
                <w:rFonts w:hint="eastAsia" w:ascii="黑体" w:hAnsi="宋体" w:eastAsia="黑体" w:cs="黑体"/>
                <w:i w:val="0"/>
                <w:iCs w:val="0"/>
                <w:color w:val="000000"/>
                <w:sz w:val="30"/>
                <w:szCs w:val="30"/>
              </w:rPr>
              <w:t>名称</w:t>
            </w:r>
          </w:p>
        </w:tc>
        <w:tc>
          <w:tcPr>
            <w:tcW w:w="98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widowControl/>
              <w:suppressLineNumbers w:val="0"/>
              <w:autoSpaceDE w:val="0"/>
              <w:autoSpaceDN/>
              <w:spacing w:before="0" w:beforeAutospacing="0" w:after="0" w:afterAutospacing="0" w:line="380" w:lineRule="atLeast"/>
              <w:ind w:left="0" w:right="0"/>
              <w:jc w:val="center"/>
              <w:textAlignment w:val="center"/>
              <w:rPr>
                <w:rFonts w:hint="default" w:ascii="Calibri" w:hAnsi="Calibri" w:cs="Calibri"/>
                <w:sz w:val="21"/>
                <w:szCs w:val="21"/>
              </w:rPr>
            </w:pPr>
            <w:r>
              <w:rPr>
                <w:rFonts w:hint="eastAsia" w:ascii="黑体" w:hAnsi="宋体" w:eastAsia="黑体" w:cs="黑体"/>
                <w:i w:val="0"/>
                <w:iCs w:val="0"/>
                <w:color w:val="000000"/>
                <w:sz w:val="30"/>
                <w:szCs w:val="30"/>
              </w:rPr>
              <w:t>权力</w:t>
            </w:r>
            <w:r>
              <w:rPr>
                <w:rFonts w:hint="eastAsia" w:ascii="黑体" w:hAnsi="宋体" w:eastAsia="黑体" w:cs="黑体"/>
                <w:i w:val="0"/>
                <w:iCs w:val="0"/>
                <w:color w:val="000000"/>
                <w:sz w:val="30"/>
                <w:szCs w:val="30"/>
              </w:rPr>
              <w:br w:type="textWrapping"/>
            </w:r>
            <w:r>
              <w:rPr>
                <w:rFonts w:hint="eastAsia" w:ascii="黑体" w:hAnsi="宋体" w:eastAsia="黑体" w:cs="黑体"/>
                <w:i w:val="0"/>
                <w:iCs w:val="0"/>
                <w:color w:val="000000"/>
                <w:sz w:val="30"/>
                <w:szCs w:val="30"/>
              </w:rPr>
              <w:t>类型</w:t>
            </w:r>
          </w:p>
        </w:tc>
        <w:tc>
          <w:tcPr>
            <w:tcW w:w="146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widowControl/>
              <w:suppressLineNumbers w:val="0"/>
              <w:autoSpaceDE w:val="0"/>
              <w:autoSpaceDN/>
              <w:spacing w:before="0" w:beforeAutospacing="0" w:after="0" w:afterAutospacing="0" w:line="380" w:lineRule="atLeast"/>
              <w:ind w:left="0" w:right="0"/>
              <w:jc w:val="center"/>
              <w:textAlignment w:val="center"/>
              <w:rPr>
                <w:rFonts w:hint="default" w:ascii="Calibri" w:hAnsi="Calibri" w:cs="Calibri"/>
                <w:sz w:val="21"/>
                <w:szCs w:val="21"/>
              </w:rPr>
            </w:pPr>
            <w:r>
              <w:rPr>
                <w:rFonts w:hint="eastAsia" w:ascii="黑体" w:hAnsi="宋体" w:eastAsia="黑体" w:cs="黑体"/>
                <w:i w:val="0"/>
                <w:iCs w:val="0"/>
                <w:color w:val="000000"/>
                <w:sz w:val="30"/>
                <w:szCs w:val="30"/>
              </w:rPr>
              <w:t>主管</w:t>
            </w:r>
          </w:p>
          <w:p>
            <w:pPr>
              <w:pStyle w:val="6"/>
              <w:keepNext w:val="0"/>
              <w:keepLines w:val="0"/>
              <w:widowControl/>
              <w:suppressLineNumbers w:val="0"/>
              <w:autoSpaceDE w:val="0"/>
              <w:autoSpaceDN/>
              <w:spacing w:before="0" w:beforeAutospacing="0" w:after="0" w:afterAutospacing="0" w:line="380" w:lineRule="atLeast"/>
              <w:ind w:left="0" w:right="0"/>
              <w:jc w:val="center"/>
              <w:textAlignment w:val="center"/>
              <w:rPr>
                <w:rFonts w:hint="default" w:ascii="Calibri" w:hAnsi="Calibri" w:cs="Calibri"/>
                <w:sz w:val="21"/>
                <w:szCs w:val="21"/>
              </w:rPr>
            </w:pPr>
            <w:r>
              <w:rPr>
                <w:rFonts w:hint="eastAsia" w:ascii="黑体" w:hAnsi="宋体" w:eastAsia="黑体" w:cs="黑体"/>
                <w:i w:val="0"/>
                <w:iCs w:val="0"/>
                <w:color w:val="000000"/>
                <w:sz w:val="30"/>
                <w:szCs w:val="30"/>
              </w:rPr>
              <w:t>部门</w:t>
            </w:r>
          </w:p>
        </w:tc>
        <w:tc>
          <w:tcPr>
            <w:tcW w:w="92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widowControl/>
              <w:suppressLineNumbers w:val="0"/>
              <w:autoSpaceDE w:val="0"/>
              <w:autoSpaceDN/>
              <w:spacing w:before="0" w:beforeAutospacing="0" w:after="0" w:afterAutospacing="0" w:line="380" w:lineRule="atLeast"/>
              <w:ind w:left="0" w:right="0"/>
              <w:jc w:val="center"/>
              <w:textAlignment w:val="center"/>
              <w:rPr>
                <w:rFonts w:hint="default" w:ascii="Calibri" w:hAnsi="Calibri" w:cs="Calibri"/>
                <w:sz w:val="21"/>
                <w:szCs w:val="21"/>
              </w:rPr>
            </w:pPr>
            <w:r>
              <w:rPr>
                <w:rFonts w:hint="eastAsia" w:ascii="黑体" w:hAnsi="宋体" w:eastAsia="黑体" w:cs="黑体"/>
                <w:i w:val="0"/>
                <w:iCs w:val="0"/>
                <w:color w:val="000000"/>
                <w:sz w:val="30"/>
                <w:szCs w:val="30"/>
              </w:rPr>
              <w:t>赋权</w:t>
            </w:r>
          </w:p>
          <w:p>
            <w:pPr>
              <w:pStyle w:val="6"/>
              <w:keepNext w:val="0"/>
              <w:keepLines w:val="0"/>
              <w:widowControl/>
              <w:suppressLineNumbers w:val="0"/>
              <w:autoSpaceDE w:val="0"/>
              <w:autoSpaceDN/>
              <w:spacing w:before="0" w:beforeAutospacing="0" w:after="0" w:afterAutospacing="0" w:line="380" w:lineRule="atLeast"/>
              <w:ind w:left="0" w:right="0"/>
              <w:jc w:val="center"/>
              <w:textAlignment w:val="center"/>
              <w:rPr>
                <w:rFonts w:hint="default" w:ascii="Calibri" w:hAnsi="Calibri" w:cs="Calibri"/>
                <w:sz w:val="21"/>
                <w:szCs w:val="21"/>
              </w:rPr>
            </w:pPr>
            <w:r>
              <w:rPr>
                <w:rFonts w:hint="eastAsia" w:ascii="黑体" w:hAnsi="宋体" w:eastAsia="黑体" w:cs="黑体"/>
                <w:i w:val="0"/>
                <w:iCs w:val="0"/>
                <w:color w:val="000000"/>
                <w:sz w:val="30"/>
                <w:szCs w:val="30"/>
              </w:rPr>
              <w:t>形式</w:t>
            </w:r>
          </w:p>
        </w:tc>
        <w:tc>
          <w:tcPr>
            <w:tcW w:w="207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widowControl/>
              <w:suppressLineNumbers w:val="0"/>
              <w:autoSpaceDE w:val="0"/>
              <w:autoSpaceDN/>
              <w:spacing w:before="0" w:beforeAutospacing="0" w:after="0" w:afterAutospacing="0" w:line="380" w:lineRule="atLeast"/>
              <w:ind w:left="0" w:right="0"/>
              <w:jc w:val="center"/>
              <w:textAlignment w:val="center"/>
              <w:rPr>
                <w:rFonts w:hint="default" w:ascii="Calibri" w:hAnsi="Calibri" w:cs="Calibri"/>
                <w:sz w:val="21"/>
                <w:szCs w:val="21"/>
              </w:rPr>
            </w:pPr>
            <w:r>
              <w:rPr>
                <w:rFonts w:hint="eastAsia" w:ascii="黑体" w:hAnsi="宋体" w:eastAsia="黑体" w:cs="黑体"/>
                <w:i w:val="0"/>
                <w:iCs w:val="0"/>
                <w:color w:val="000000"/>
                <w:sz w:val="30"/>
                <w:szCs w:val="30"/>
              </w:rPr>
              <w:t>承接</w:t>
            </w:r>
          </w:p>
          <w:p>
            <w:pPr>
              <w:pStyle w:val="6"/>
              <w:keepNext w:val="0"/>
              <w:keepLines w:val="0"/>
              <w:widowControl/>
              <w:suppressLineNumbers w:val="0"/>
              <w:autoSpaceDE w:val="0"/>
              <w:autoSpaceDN/>
              <w:spacing w:before="0" w:beforeAutospacing="0" w:after="0" w:afterAutospacing="0" w:line="380" w:lineRule="atLeast"/>
              <w:ind w:left="0" w:right="0"/>
              <w:jc w:val="center"/>
              <w:textAlignment w:val="center"/>
              <w:rPr>
                <w:rFonts w:hint="default" w:ascii="Calibri" w:hAnsi="Calibri" w:cs="Calibri"/>
                <w:sz w:val="21"/>
                <w:szCs w:val="21"/>
              </w:rPr>
            </w:pPr>
            <w:r>
              <w:rPr>
                <w:rFonts w:hint="eastAsia" w:ascii="黑体" w:hAnsi="宋体" w:eastAsia="黑体" w:cs="黑体"/>
                <w:i w:val="0"/>
                <w:iCs w:val="0"/>
                <w:color w:val="000000"/>
                <w:sz w:val="30"/>
                <w:szCs w:val="30"/>
              </w:rPr>
              <w:t>主体</w:t>
            </w:r>
          </w:p>
        </w:tc>
        <w:tc>
          <w:tcPr>
            <w:tcW w:w="175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widowControl/>
              <w:suppressLineNumbers w:val="0"/>
              <w:autoSpaceDE w:val="0"/>
              <w:autoSpaceDN/>
              <w:spacing w:before="0" w:beforeAutospacing="0" w:after="0" w:afterAutospacing="0" w:line="380" w:lineRule="atLeast"/>
              <w:ind w:left="0" w:right="0"/>
              <w:jc w:val="center"/>
              <w:textAlignment w:val="center"/>
              <w:rPr>
                <w:rFonts w:hint="default" w:ascii="Calibri" w:hAnsi="Calibri" w:cs="Calibri"/>
                <w:sz w:val="21"/>
                <w:szCs w:val="21"/>
              </w:rPr>
            </w:pPr>
            <w:r>
              <w:rPr>
                <w:rFonts w:hint="eastAsia" w:ascii="黑体" w:hAnsi="宋体" w:eastAsia="黑体" w:cs="黑体"/>
                <w:i w:val="0"/>
                <w:iCs w:val="0"/>
                <w:color w:val="000000"/>
                <w:sz w:val="30"/>
                <w:szCs w:val="3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1</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香港、澳门律师事务所与内地律师事务所联营</w:t>
            </w:r>
            <w:r>
              <w:rPr>
                <w:rFonts w:hint="eastAsia" w:ascii="仿宋_GB2312" w:hAnsi="仿宋_GB2312" w:eastAsia="仿宋_GB2312" w:cs="仿宋_GB2312"/>
                <w:i w:val="0"/>
                <w:iCs w:val="0"/>
                <w:color w:val="000000"/>
                <w:spacing w:val="-20"/>
                <w:sz w:val="32"/>
                <w:szCs w:val="32"/>
              </w:rPr>
              <w:t>核准</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司法厅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乌鲁木齐市司法行政主管部门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2</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工程监理企业资质认定</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w:t>
            </w:r>
            <w:r>
              <w:rPr>
                <w:rFonts w:hint="eastAsia" w:ascii="仿宋_GB2312" w:hAnsi="仿宋_GB2312" w:eastAsia="仿宋_GB2312" w:cs="仿宋_GB2312"/>
                <w:i w:val="0"/>
                <w:iCs w:val="0"/>
                <w:color w:val="000000"/>
                <w:spacing w:val="-23"/>
                <w:sz w:val="32"/>
                <w:szCs w:val="32"/>
              </w:rPr>
              <w:t>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乌鲁木齐市住建</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综合、专业甲级除外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3</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建筑施工企业安全生产许可</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w:t>
            </w:r>
            <w:r>
              <w:rPr>
                <w:rFonts w:hint="eastAsia" w:ascii="仿宋_GB2312" w:hAnsi="仿宋_GB2312" w:eastAsia="仿宋_GB2312" w:cs="仿宋_GB2312"/>
                <w:i w:val="0"/>
                <w:iCs w:val="0"/>
                <w:color w:val="000000"/>
                <w:spacing w:val="-23"/>
                <w:sz w:val="32"/>
                <w:szCs w:val="32"/>
              </w:rPr>
              <w:t>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乌鲁木齐市住建</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4</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建筑业企业资质认定（总承包二级）</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w:t>
            </w:r>
            <w:r>
              <w:rPr>
                <w:rFonts w:hint="eastAsia" w:ascii="仿宋_GB2312" w:hAnsi="仿宋_GB2312" w:eastAsia="仿宋_GB2312" w:cs="仿宋_GB2312"/>
                <w:i w:val="0"/>
                <w:iCs w:val="0"/>
                <w:color w:val="000000"/>
                <w:spacing w:val="-23"/>
                <w:sz w:val="32"/>
                <w:szCs w:val="32"/>
              </w:rPr>
              <w:t>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乌鲁木齐市住建</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铁路、交通、水利、民航、通信除外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5</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建筑业企业资质认定（专业</w:t>
            </w:r>
            <w:r>
              <w:rPr>
                <w:rFonts w:hint="eastAsia" w:ascii="仿宋_GB2312" w:hAnsi="仿宋_GB2312" w:eastAsia="仿宋_GB2312" w:cs="仿宋_GB2312"/>
                <w:i w:val="0"/>
                <w:iCs w:val="0"/>
                <w:color w:val="000000"/>
                <w:spacing w:val="-20"/>
                <w:sz w:val="32"/>
                <w:szCs w:val="32"/>
              </w:rPr>
              <w:t>承包二级）</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w:t>
            </w:r>
            <w:r>
              <w:rPr>
                <w:rFonts w:hint="eastAsia" w:ascii="仿宋_GB2312" w:hAnsi="仿宋_GB2312" w:eastAsia="仿宋_GB2312" w:cs="仿宋_GB2312"/>
                <w:i w:val="0"/>
                <w:iCs w:val="0"/>
                <w:color w:val="000000"/>
                <w:spacing w:val="-23"/>
                <w:sz w:val="32"/>
                <w:szCs w:val="32"/>
              </w:rPr>
              <w:t>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乌鲁木齐市住建</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铁路、交通、水利、民航、通信除外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6</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20"/>
                <w:sz w:val="32"/>
                <w:szCs w:val="32"/>
              </w:rPr>
              <w:t>建造师执业资格认定</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w:t>
            </w:r>
            <w:r>
              <w:rPr>
                <w:rFonts w:hint="eastAsia" w:ascii="仿宋_GB2312" w:hAnsi="仿宋_GB2312" w:eastAsia="仿宋_GB2312" w:cs="仿宋_GB2312"/>
                <w:i w:val="0"/>
                <w:iCs w:val="0"/>
                <w:color w:val="000000"/>
                <w:spacing w:val="-23"/>
                <w:sz w:val="32"/>
                <w:szCs w:val="32"/>
              </w:rPr>
              <w:t>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乌鲁木齐市住建</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仅限于二级建造师执业资格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7</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注册建筑师执业资格认定</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w:t>
            </w:r>
            <w:r>
              <w:rPr>
                <w:rFonts w:hint="eastAsia" w:ascii="仿宋_GB2312" w:hAnsi="仿宋_GB2312" w:eastAsia="仿宋_GB2312" w:cs="仿宋_GB2312"/>
                <w:i w:val="0"/>
                <w:iCs w:val="0"/>
                <w:color w:val="000000"/>
                <w:spacing w:val="-23"/>
                <w:sz w:val="32"/>
                <w:szCs w:val="32"/>
              </w:rPr>
              <w:t>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乌鲁木齐市住建</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仅限于二级注册建筑师执业资格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8</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勘察设计注册工程师执业资格认定</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w:t>
            </w:r>
            <w:r>
              <w:rPr>
                <w:rFonts w:hint="eastAsia" w:ascii="仿宋_GB2312" w:hAnsi="仿宋_GB2312" w:eastAsia="仿宋_GB2312" w:cs="仿宋_GB2312"/>
                <w:i w:val="0"/>
                <w:iCs w:val="0"/>
                <w:color w:val="000000"/>
                <w:spacing w:val="-23"/>
                <w:sz w:val="32"/>
                <w:szCs w:val="32"/>
              </w:rPr>
              <w:t>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乌鲁木齐市住建</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仅限于二级注册结构工程师执业资格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9</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住房和城乡建设领域施工现场专业</w:t>
            </w:r>
            <w:r>
              <w:rPr>
                <w:rFonts w:hint="eastAsia" w:ascii="仿宋_GB2312" w:hAnsi="仿宋_GB2312" w:eastAsia="仿宋_GB2312" w:cs="仿宋_GB2312"/>
                <w:i w:val="0"/>
                <w:iCs w:val="0"/>
                <w:color w:val="000000"/>
                <w:spacing w:val="-20"/>
                <w:sz w:val="32"/>
                <w:szCs w:val="32"/>
              </w:rPr>
              <w:t>人员职业培训合格证</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确认</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w:t>
            </w:r>
            <w:r>
              <w:rPr>
                <w:rFonts w:hint="eastAsia" w:ascii="仿宋_GB2312" w:hAnsi="仿宋_GB2312" w:eastAsia="仿宋_GB2312" w:cs="仿宋_GB2312"/>
                <w:i w:val="0"/>
                <w:iCs w:val="0"/>
                <w:color w:val="000000"/>
                <w:spacing w:val="-23"/>
                <w:sz w:val="32"/>
                <w:szCs w:val="32"/>
              </w:rPr>
              <w:t>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乌鲁木齐市住建</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10</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住房和城乡建设领域燃气从业人员职业培训合格证</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确认</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乌鲁木齐市住建主管部门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11</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职业（工种）技能鉴定</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确认</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住房和</w:t>
            </w:r>
            <w:r>
              <w:rPr>
                <w:rFonts w:hint="eastAsia" w:ascii="仿宋_GB2312" w:hAnsi="仿宋_GB2312" w:eastAsia="仿宋_GB2312" w:cs="仿宋_GB2312"/>
                <w:i w:val="0"/>
                <w:iCs w:val="0"/>
                <w:color w:val="000000"/>
                <w:spacing w:val="-23"/>
                <w:sz w:val="32"/>
                <w:szCs w:val="32"/>
              </w:rPr>
              <w:t>城乡建设厅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乌鲁木齐市住建</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12</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固定资产投资项目核准</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w:t>
            </w:r>
            <w:r>
              <w:rPr>
                <w:rFonts w:hint="eastAsia" w:ascii="仿宋_GB2312" w:hAnsi="仿宋_GB2312" w:eastAsia="仿宋_GB2312" w:cs="仿宋_GB2312"/>
                <w:i w:val="0"/>
                <w:iCs w:val="0"/>
                <w:color w:val="000000"/>
                <w:sz w:val="32"/>
                <w:szCs w:val="32"/>
              </w:rPr>
              <w:br w:type="textWrapping"/>
            </w:r>
            <w:r>
              <w:rPr>
                <w:rFonts w:hint="eastAsia" w:ascii="仿宋_GB2312" w:hAnsi="仿宋_GB2312" w:eastAsia="仿宋_GB2312" w:cs="仿宋_GB2312"/>
                <w:i w:val="0"/>
                <w:iCs w:val="0"/>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自治区工业和信息化厅</w:t>
            </w:r>
          </w:p>
        </w:tc>
        <w:tc>
          <w:tcPr>
            <w:tcW w:w="926"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乌鲁木齐市政府</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仅限于铁矿、有色矿山、黄金采选技术改造投资项目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13</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市级政府组织编制的土地征收成片开</w:t>
            </w:r>
            <w:r>
              <w:rPr>
                <w:rFonts w:hint="eastAsia" w:ascii="仿宋_GB2312" w:hAnsi="仿宋_GB2312" w:eastAsia="仿宋_GB2312" w:cs="仿宋_GB2312"/>
                <w:i w:val="0"/>
                <w:iCs w:val="0"/>
                <w:color w:val="000000"/>
                <w:spacing w:val="-34"/>
                <w:sz w:val="32"/>
                <w:szCs w:val="32"/>
              </w:rPr>
              <w:t>发方案</w:t>
            </w:r>
            <w:r>
              <w:rPr>
                <w:rFonts w:hint="eastAsia" w:ascii="仿宋_GB2312" w:hAnsi="仿宋_GB2312" w:eastAsia="仿宋_GB2312" w:cs="仿宋_GB2312"/>
                <w:i w:val="0"/>
                <w:iCs w:val="0"/>
                <w:color w:val="000000"/>
                <w:spacing w:val="-34"/>
                <w:sz w:val="32"/>
                <w:szCs w:val="32"/>
                <w:lang w:eastAsia="zh-CN"/>
              </w:rPr>
              <w:t>审批</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政府内部管理事项</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乌鲁木齐市政府</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olor w:val="000000"/>
                <w:sz w:val="32"/>
                <w:szCs w:val="32"/>
              </w:rPr>
              <w:t>14</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从事测绘活动的单位测绘资质审批</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行政许可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z w:val="32"/>
                <w:szCs w:val="32"/>
              </w:rPr>
              <w:t>仅限于乙级测绘资质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79"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sz w:val="32"/>
                <w:szCs w:val="32"/>
              </w:rPr>
              <w:t>15</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21"/>
                <w:szCs w:val="21"/>
              </w:rPr>
            </w:pPr>
            <w:r>
              <w:rPr>
                <w:rFonts w:hint="eastAsia" w:ascii="仿宋_GB2312" w:hAnsi="仿宋" w:eastAsia="仿宋_GB2312" w:cs="仿宋_GB2312"/>
                <w:i w:val="0"/>
                <w:iCs w:val="0"/>
                <w:color w:val="000000"/>
                <w:sz w:val="32"/>
                <w:szCs w:val="32"/>
              </w:rPr>
              <w:t>勘查矿产资源审批</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21"/>
                <w:szCs w:val="21"/>
              </w:rPr>
            </w:pPr>
            <w:r>
              <w:rPr>
                <w:rFonts w:hint="eastAsia" w:ascii="仿宋_GB2312" w:hAnsi="仿宋" w:eastAsia="仿宋_GB2312" w:cs="仿宋_GB2312"/>
                <w:i w:val="0"/>
                <w:iCs w:val="0"/>
                <w:color w:val="000000"/>
                <w:sz w:val="32"/>
                <w:szCs w:val="32"/>
              </w:rPr>
              <w:t>行政许可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21"/>
                <w:szCs w:val="21"/>
              </w:rPr>
            </w:pPr>
            <w:r>
              <w:rPr>
                <w:rFonts w:hint="eastAsia" w:ascii="仿宋_GB2312" w:hAnsi="仿宋"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21"/>
                <w:szCs w:val="21"/>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21"/>
                <w:szCs w:val="21"/>
              </w:rPr>
            </w:pPr>
            <w:r>
              <w:rPr>
                <w:rFonts w:hint="eastAsia" w:ascii="仿宋_GB2312" w:hAnsi="仿宋"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center"/>
              <w:rPr>
                <w:rFonts w:hint="default" w:ascii="Calibri" w:hAnsi="Calibri" w:cs="Calibri"/>
                <w:sz w:val="21"/>
                <w:szCs w:val="21"/>
              </w:rPr>
            </w:pPr>
            <w:r>
              <w:rPr>
                <w:rFonts w:hint="eastAsia" w:ascii="仿宋_GB2312" w:hAnsi="仿宋" w:eastAsia="仿宋_GB2312" w:cs="仿宋_GB2312"/>
                <w:i w:val="0"/>
                <w:iCs w:val="0"/>
                <w:color w:val="000000"/>
                <w:sz w:val="24"/>
                <w:szCs w:val="24"/>
              </w:rPr>
              <w:t>仅限于能源矿产1种“地热（干热岩）”、非金属矿产38种“金刚石、自然硫、硫铁矿、蓝晶石、石棉、蓝石棉、蛭石、沸石、萤石、水晶、刚玉、硅线石、红柱石、钠硝石、云母、透辉石、透闪石、明矾石、芒硝（含钙芒硝）、毒重石、天然碱、黄玉、电气石、玛瑙、颜料矿物、白垩、天然油石、硅藻土、高岭土、霞石正长岩、火山岩、火山渣、矿盐（湖盐、岩盐、天然卤水）、镁盐、碘、溴、砷、膨润土”和水气矿产2种“地下水（勘查）、矿泉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2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21"/>
                <w:szCs w:val="21"/>
              </w:rPr>
            </w:pPr>
            <w:r>
              <w:rPr>
                <w:rFonts w:hint="default" w:ascii="Times New Roman" w:hAnsi="Times New Roman" w:eastAsia="仿宋_GB2312" w:cs="Times New Roman"/>
                <w:i w:val="0"/>
                <w:iCs w:val="0"/>
                <w:color w:val="000000"/>
                <w:sz w:val="28"/>
                <w:szCs w:val="28"/>
              </w:rPr>
              <w:t>16</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开采矿产资源审批</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行政许可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center"/>
              <w:rPr>
                <w:rFonts w:hint="default" w:ascii="Calibri" w:hAnsi="Calibri" w:cs="Calibri"/>
                <w:sz w:val="21"/>
                <w:szCs w:val="21"/>
              </w:rPr>
            </w:pPr>
            <w:r>
              <w:rPr>
                <w:rFonts w:hint="eastAsia" w:ascii="仿宋_GB2312" w:hAnsi="仿宋" w:eastAsia="仿宋_GB2312" w:cs="仿宋_GB2312"/>
                <w:i w:val="0"/>
                <w:iCs w:val="0"/>
                <w:color w:val="000000"/>
                <w:sz w:val="24"/>
                <w:szCs w:val="24"/>
              </w:rPr>
              <w:t>仅限于能源矿产1种“地热（干热岩）”、非金属矿产38种“金刚石、自然硫、硫铁矿、蓝晶石、石棉、蓝石棉、蛭石、沸石、萤石、水晶、刚玉、硅线石、红柱石、钠硝石、云母、透辉石、透闪石、明矾石、芒硝（含钙芒硝）、毒重石、天然碱、黄玉、电气石、玛瑙、颜料矿物、白垩、天然油石、硅藻土、高岭土、霞石正长岩、火山岩、火山渣、矿盐（湖盐、岩盐、天然卤水）、镁盐、碘、溴、砷、膨润土”和水气矿产2种“地下水（勘查）、矿泉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17</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城乡规划编制单位资质认定</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行政许可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仅限于乙级资质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18</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古生物化石进出境审批</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行政许可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仅限于一般保护古生物化石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19</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古生物化石</w:t>
            </w:r>
            <w:r>
              <w:rPr>
                <w:rFonts w:hint="eastAsia" w:ascii="仿宋_GB2312" w:hAnsi="仿宋" w:eastAsia="仿宋_GB2312" w:cs="仿宋_GB2312"/>
                <w:i w:val="0"/>
                <w:iCs w:val="0"/>
                <w:color w:val="000000"/>
                <w:spacing w:val="-28"/>
                <w:sz w:val="32"/>
                <w:szCs w:val="32"/>
              </w:rPr>
              <w:t>发掘审批</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行政许可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仅限于</w:t>
            </w:r>
            <w:r>
              <w:rPr>
                <w:rFonts w:hint="eastAsia" w:ascii="仿宋_GB2312" w:hAnsi="Calibri" w:eastAsia="仿宋_GB2312" w:cs="仿宋_GB2312"/>
                <w:color w:val="000000"/>
                <w:sz w:val="32"/>
                <w:szCs w:val="32"/>
              </w:rPr>
              <w:t>在国家级古生物化石自然保护区外发掘一般保护</w:t>
            </w:r>
            <w:r>
              <w:rPr>
                <w:rFonts w:hint="eastAsia" w:ascii="仿宋_GB2312" w:hAnsi="Calibri" w:eastAsia="仿宋_GB2312" w:cs="仿宋_GB2312"/>
                <w:color w:val="000000"/>
                <w:spacing w:val="-20"/>
                <w:sz w:val="32"/>
                <w:szCs w:val="32"/>
              </w:rPr>
              <w:t>古生物化石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20</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建设项目压覆重要矿床审批</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行政许可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rPr>
                <w:rFonts w:hint="default" w:ascii="Calibri" w:hAnsi="Calibri" w:cs="Calibri"/>
                <w:sz w:val="32"/>
                <w:szCs w:val="32"/>
              </w:rPr>
            </w:pPr>
            <w:r>
              <w:rPr>
                <w:rFonts w:hint="default" w:ascii="Calibri" w:hAnsi="Calibri" w:cs="Calibri"/>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21</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矿山闭坑地质报告审批</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行政许可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rPr>
                <w:rFonts w:hint="default" w:ascii="Calibri" w:hAnsi="Calibri" w:cs="Calibri"/>
                <w:sz w:val="32"/>
                <w:szCs w:val="32"/>
              </w:rPr>
            </w:pPr>
            <w:r>
              <w:rPr>
                <w:rFonts w:hint="default" w:ascii="Calibri" w:hAnsi="Calibri" w:cs="Calibri"/>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22</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矿山地质环境保护与土地复</w:t>
            </w:r>
            <w:r>
              <w:rPr>
                <w:rFonts w:hint="eastAsia" w:ascii="仿宋_GB2312" w:hAnsi="仿宋" w:eastAsia="仿宋_GB2312" w:cs="仿宋_GB2312"/>
                <w:i w:val="0"/>
                <w:iCs w:val="0"/>
                <w:color w:val="000000"/>
                <w:spacing w:val="-20"/>
                <w:sz w:val="32"/>
                <w:szCs w:val="32"/>
              </w:rPr>
              <w:t>垦</w:t>
            </w:r>
            <w:r>
              <w:rPr>
                <w:rFonts w:hint="eastAsia" w:ascii="仿宋_GB2312" w:hAnsi="仿宋" w:eastAsia="仿宋_GB2312" w:cs="仿宋_GB2312"/>
                <w:i w:val="0"/>
                <w:iCs w:val="0"/>
                <w:color w:val="000000"/>
                <w:spacing w:val="-23"/>
                <w:sz w:val="32"/>
                <w:szCs w:val="32"/>
              </w:rPr>
              <w:t>方案审查</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其他行政权力</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rPr>
                <w:rFonts w:hint="default" w:ascii="Calibri" w:hAnsi="Calibri" w:cs="Calibri"/>
                <w:sz w:val="32"/>
                <w:szCs w:val="32"/>
              </w:rPr>
            </w:pPr>
            <w:r>
              <w:rPr>
                <w:rFonts w:hint="default" w:ascii="Calibri" w:hAnsi="Calibri" w:cs="Calibri"/>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23</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矿山地质环境治理项目验收</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其他行政权力</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自治区自然资源厅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乌鲁木齐市自然资源</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rPr>
                <w:rFonts w:hint="default" w:ascii="Calibri" w:hAnsi="Calibri" w:cs="Calibri"/>
                <w:sz w:val="32"/>
                <w:szCs w:val="32"/>
              </w:rPr>
            </w:pPr>
            <w:r>
              <w:rPr>
                <w:rFonts w:hint="default" w:ascii="Calibri" w:hAnsi="Calibri" w:cs="Calibri"/>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24</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Calibri" w:eastAsia="仿宋_GB2312" w:cs="仿宋_GB2312"/>
                <w:i w:val="0"/>
                <w:iCs w:val="0"/>
                <w:color w:val="000000"/>
                <w:sz w:val="32"/>
                <w:szCs w:val="32"/>
              </w:rPr>
              <w:t>企业投资项目备案（风电站、光伏电站）</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Calibri" w:eastAsia="仿宋_GB2312" w:cs="仿宋_GB2312"/>
                <w:i w:val="0"/>
                <w:iCs w:val="0"/>
                <w:color w:val="000000"/>
                <w:sz w:val="32"/>
                <w:szCs w:val="32"/>
              </w:rPr>
              <w:t>其他行政权力</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Calibri" w:eastAsia="仿宋_GB2312" w:cs="仿宋_GB2312"/>
                <w:i w:val="0"/>
                <w:iCs w:val="0"/>
                <w:color w:val="000000"/>
                <w:sz w:val="32"/>
                <w:szCs w:val="32"/>
              </w:rPr>
              <w:t>自治区</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Calibri" w:eastAsia="仿宋_GB2312" w:cs="仿宋_GB2312"/>
                <w:i w:val="0"/>
                <w:iCs w:val="0"/>
                <w:color w:val="000000"/>
                <w:sz w:val="32"/>
                <w:szCs w:val="32"/>
              </w:rPr>
              <w:t>发展和改革委员会</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Calibri"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Calibri" w:eastAsia="仿宋_GB2312" w:cs="仿宋_GB2312"/>
                <w:i w:val="0"/>
                <w:iCs w:val="0"/>
                <w:color w:val="000000"/>
                <w:sz w:val="32"/>
                <w:szCs w:val="32"/>
              </w:rPr>
              <w:t>乌鲁木齐市发展改革部门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default" w:ascii="Calibri" w:hAnsi="Calibri" w:cs="Calibri"/>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25</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权限内国家、自治区重点项目先行使用林、草地报备</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其他行政权力</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林业和</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草原局</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乌鲁木齐市林业和草原主管部门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rPr>
                <w:rFonts w:hint="default" w:ascii="Calibri" w:hAnsi="Calibri" w:cs="Calibri"/>
                <w:sz w:val="32"/>
                <w:szCs w:val="32"/>
              </w:rPr>
            </w:pPr>
            <w:r>
              <w:rPr>
                <w:rFonts w:hint="default" w:ascii="Calibri" w:hAnsi="Calibri" w:cs="Calibri"/>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5"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26</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旅行社设立许可</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行政</w:t>
            </w:r>
            <w:r>
              <w:rPr>
                <w:rFonts w:hint="eastAsia" w:ascii="仿宋" w:hAnsi="仿宋" w:eastAsia="仿宋" w:cs="仿宋"/>
                <w:i w:val="0"/>
                <w:iCs w:val="0"/>
                <w:color w:val="000000"/>
                <w:sz w:val="32"/>
                <w:szCs w:val="32"/>
              </w:rPr>
              <w:br w:type="textWrapping"/>
            </w:r>
            <w:r>
              <w:rPr>
                <w:rFonts w:hint="eastAsia" w:ascii="仿宋_GB2312" w:hAnsi="仿宋" w:eastAsia="仿宋_GB2312" w:cs="仿宋_GB2312"/>
                <w:i w:val="0"/>
                <w:iCs w:val="0"/>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文化和</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旅游厅</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乌鲁木齐市文化和旅游主管部门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出境资质旅行社和边境资质旅行社除外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1" w:hRule="atLeast"/>
        </w:trPr>
        <w:tc>
          <w:tcPr>
            <w:tcW w:w="74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Times New Roman" w:hAnsi="Times New Roman" w:cs="Times New Roman"/>
                <w:sz w:val="32"/>
                <w:szCs w:val="32"/>
              </w:rPr>
            </w:pPr>
            <w:r>
              <w:rPr>
                <w:rFonts w:hint="default" w:ascii="Times New Roman" w:hAnsi="Times New Roman" w:eastAsia="仿宋_GB2312" w:cs="Times New Roman"/>
                <w:i w:val="0"/>
                <w:iCs w:val="0"/>
                <w:color w:val="000000"/>
                <w:sz w:val="32"/>
                <w:szCs w:val="32"/>
              </w:rPr>
              <w:t>27</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广播电视节目制作经营单位设立审批</w:t>
            </w:r>
          </w:p>
        </w:tc>
        <w:tc>
          <w:tcPr>
            <w:tcW w:w="9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行政</w:t>
            </w:r>
            <w:r>
              <w:rPr>
                <w:rFonts w:hint="eastAsia" w:ascii="仿宋" w:hAnsi="仿宋" w:eastAsia="仿宋" w:cs="仿宋"/>
                <w:i w:val="0"/>
                <w:iCs w:val="0"/>
                <w:color w:val="000000"/>
                <w:sz w:val="32"/>
                <w:szCs w:val="32"/>
              </w:rPr>
              <w:br w:type="textWrapping"/>
            </w:r>
            <w:r>
              <w:rPr>
                <w:rFonts w:hint="eastAsia" w:ascii="仿宋_GB2312" w:hAnsi="仿宋" w:eastAsia="仿宋_GB2312" w:cs="仿宋_GB2312"/>
                <w:i w:val="0"/>
                <w:iCs w:val="0"/>
                <w:color w:val="000000"/>
                <w:sz w:val="32"/>
                <w:szCs w:val="32"/>
              </w:rPr>
              <w:t>许可</w:t>
            </w:r>
          </w:p>
        </w:tc>
        <w:tc>
          <w:tcPr>
            <w:tcW w:w="146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自治区广播电视局</w:t>
            </w:r>
          </w:p>
        </w:tc>
        <w:tc>
          <w:tcPr>
            <w:tcW w:w="9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委托</w:t>
            </w:r>
          </w:p>
        </w:tc>
        <w:tc>
          <w:tcPr>
            <w:tcW w:w="20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center"/>
              <w:rPr>
                <w:rFonts w:hint="default" w:ascii="Calibri" w:hAnsi="Calibri" w:cs="Calibri"/>
                <w:sz w:val="32"/>
                <w:szCs w:val="32"/>
              </w:rPr>
            </w:pPr>
            <w:r>
              <w:rPr>
                <w:rFonts w:hint="eastAsia" w:ascii="仿宋_GB2312" w:hAnsi="仿宋" w:eastAsia="仿宋_GB2312" w:cs="仿宋_GB2312"/>
                <w:i w:val="0"/>
                <w:iCs w:val="0"/>
                <w:color w:val="000000"/>
                <w:sz w:val="32"/>
                <w:szCs w:val="32"/>
              </w:rPr>
              <w:t>乌鲁木齐市广播电视</w:t>
            </w:r>
            <w:r>
              <w:rPr>
                <w:rFonts w:hint="eastAsia" w:ascii="仿宋_GB2312" w:hAnsi="仿宋_GB2312" w:eastAsia="仿宋_GB2312" w:cs="仿宋_GB2312"/>
                <w:i w:val="0"/>
                <w:iCs w:val="0"/>
                <w:color w:val="000000"/>
                <w:spacing w:val="-20"/>
                <w:sz w:val="32"/>
                <w:szCs w:val="32"/>
              </w:rPr>
              <w:t>主管部门</w:t>
            </w:r>
          </w:p>
        </w:tc>
        <w:tc>
          <w:tcPr>
            <w:tcW w:w="17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both"/>
              <w:rPr>
                <w:rFonts w:hint="default" w:ascii="Calibri" w:hAnsi="Calibri" w:cs="Calibri"/>
                <w:sz w:val="32"/>
                <w:szCs w:val="32"/>
              </w:rPr>
            </w:pPr>
            <w:r>
              <w:rPr>
                <w:rFonts w:hint="default" w:ascii="Calibri" w:hAnsi="Calibri" w:cs="Calibri"/>
                <w:sz w:val="32"/>
                <w:szCs w:val="32"/>
              </w:rPr>
              <w:t> </w:t>
            </w:r>
          </w:p>
        </w:tc>
      </w:tr>
    </w:tbl>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B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新疆维吾尔自治区人民政府发布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BFA5DC5"/>
    <w:rsid w:val="6D0E3F22"/>
    <w:rsid w:val="7C9011D9"/>
    <w:rsid w:val="7DC651C5"/>
    <w:rsid w:val="7FCC2834"/>
    <w:rsid w:val="DDFF04D6"/>
    <w:rsid w:val="FD908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rhgl</cp:lastModifiedBy>
  <cp:lastPrinted>2021-10-27T03:30:00Z</cp:lastPrinted>
  <dcterms:modified xsi:type="dcterms:W3CDTF">2025-01-21T16:49:34Z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48C61CB29D3F4D9384F5922CF0F7FFB4</vt:lpwstr>
  </property>
</Properties>
</file>